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FD" w:rsidRDefault="005B71FD">
      <w:pPr>
        <w:pStyle w:val="a3"/>
        <w:ind w:left="7780"/>
        <w:jc w:val="left"/>
        <w:rPr>
          <w:sz w:val="20"/>
        </w:rPr>
      </w:pPr>
    </w:p>
    <w:p w:rsidR="005B71FD" w:rsidRDefault="005B71FD">
      <w:pPr>
        <w:pStyle w:val="a3"/>
        <w:ind w:left="1527"/>
        <w:jc w:val="left"/>
        <w:rPr>
          <w:sz w:val="20"/>
        </w:rPr>
      </w:pPr>
    </w:p>
    <w:p w:rsidR="005B71FD" w:rsidRDefault="005B71FD">
      <w:pPr>
        <w:rPr>
          <w:sz w:val="20"/>
        </w:rPr>
        <w:sectPr w:rsidR="005B71FD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5B71FD" w:rsidRDefault="005B71FD">
      <w:pPr>
        <w:sectPr w:rsidR="005B71FD">
          <w:type w:val="continuous"/>
          <w:pgSz w:w="11910" w:h="16840"/>
          <w:pgMar w:top="380" w:right="380" w:bottom="0" w:left="1580" w:header="720" w:footer="720" w:gutter="0"/>
          <w:cols w:num="2" w:space="720" w:equalWidth="0">
            <w:col w:w="3878" w:space="889"/>
            <w:col w:w="5183"/>
          </w:cols>
        </w:sectPr>
      </w:pPr>
    </w:p>
    <w:p w:rsidR="005B71FD" w:rsidRPr="00A4335E" w:rsidRDefault="0085261D" w:rsidP="00A4335E">
      <w:pPr>
        <w:pStyle w:val="a3"/>
        <w:ind w:left="0"/>
        <w:jc w:val="center"/>
        <w:rPr>
          <w:b/>
          <w:i/>
          <w:sz w:val="36"/>
          <w:szCs w:val="36"/>
        </w:rPr>
      </w:pPr>
      <w:r w:rsidRPr="00A4335E">
        <w:rPr>
          <w:b/>
          <w:i/>
          <w:sz w:val="36"/>
          <w:szCs w:val="36"/>
        </w:rPr>
        <w:lastRenderedPageBreak/>
        <w:t>«Права</w:t>
      </w:r>
      <w:r w:rsidRPr="00A4335E">
        <w:rPr>
          <w:b/>
          <w:i/>
          <w:spacing w:val="5"/>
          <w:sz w:val="36"/>
          <w:szCs w:val="36"/>
        </w:rPr>
        <w:t xml:space="preserve"> </w:t>
      </w:r>
      <w:r w:rsidRPr="00A4335E">
        <w:rPr>
          <w:b/>
          <w:i/>
          <w:spacing w:val="-2"/>
          <w:sz w:val="36"/>
          <w:szCs w:val="36"/>
        </w:rPr>
        <w:t>инвалидов».</w:t>
      </w:r>
    </w:p>
    <w:p w:rsidR="00A4335E" w:rsidRDefault="00A4335E">
      <w:pPr>
        <w:pStyle w:val="a3"/>
        <w:ind w:right="184" w:firstLine="708"/>
      </w:pPr>
    </w:p>
    <w:p w:rsidR="005B71FD" w:rsidRDefault="0085261D">
      <w:pPr>
        <w:pStyle w:val="a3"/>
        <w:ind w:right="184" w:firstLine="708"/>
      </w:pPr>
      <w:r>
        <w:t>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</w:t>
      </w:r>
      <w:r>
        <w:t>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5B71FD" w:rsidRDefault="0085261D">
      <w:pPr>
        <w:pStyle w:val="a3"/>
        <w:ind w:left="829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статьей</w:t>
      </w:r>
      <w:r>
        <w:rPr>
          <w:spacing w:val="-14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24.11.1995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181-</w:t>
      </w:r>
      <w:r>
        <w:rPr>
          <w:spacing w:val="-5"/>
        </w:rPr>
        <w:t>ФЗ</w:t>
      </w:r>
    </w:p>
    <w:p w:rsidR="005B71FD" w:rsidRDefault="0085261D">
      <w:pPr>
        <w:pStyle w:val="a3"/>
        <w:ind w:right="184"/>
      </w:pPr>
      <w:r>
        <w:t>«О социальной защите инвалидов в Российской Федерации» (дал</w:t>
      </w:r>
      <w:r>
        <w:t>ее – Закон № 181-ФЗ) организации независимо от организационно-правовых форм обязаны создавать условия инвалидам (включая инвалидов, использующих кресла- коляски и собак-проводников) для беспрепятственного доступа к объектам социальной инфраструктуры (жилым</w:t>
      </w:r>
      <w:r>
        <w:t>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5B71FD" w:rsidRDefault="0085261D">
      <w:pPr>
        <w:pStyle w:val="a3"/>
        <w:ind w:right="184" w:firstLine="708"/>
      </w:pPr>
      <w:r>
        <w:t>В силу статьи 9 Конвенции о правах инвалидов меры по выявлению и устранению препятствий и барьеров, мешающ</w:t>
      </w:r>
      <w:r>
        <w:t xml:space="preserve">их доступности, должны распространяться на здания, дороги, транспорт и другие внутренние и внешние объекты, включая школы, жилые дома, медицинские учреждения и рабочие </w:t>
      </w:r>
      <w:r>
        <w:rPr>
          <w:spacing w:val="-2"/>
        </w:rPr>
        <w:t>места.</w:t>
      </w:r>
    </w:p>
    <w:p w:rsidR="005B71FD" w:rsidRDefault="0085261D">
      <w:pPr>
        <w:pStyle w:val="a3"/>
        <w:ind w:firstLine="708"/>
        <w:jc w:val="left"/>
      </w:pPr>
      <w:r>
        <w:t>К</w:t>
      </w:r>
      <w:r>
        <w:rPr>
          <w:spacing w:val="40"/>
        </w:rPr>
        <w:t xml:space="preserve"> </w:t>
      </w:r>
      <w:r>
        <w:t>объектам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транспортной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инфраструктур,</w:t>
      </w:r>
      <w:r>
        <w:rPr>
          <w:spacing w:val="80"/>
          <w:w w:val="150"/>
        </w:rPr>
        <w:t xml:space="preserve"> </w:t>
      </w:r>
      <w:r>
        <w:t>подлежащим</w:t>
      </w:r>
      <w:r>
        <w:rPr>
          <w:spacing w:val="40"/>
        </w:rPr>
        <w:t xml:space="preserve"> </w:t>
      </w:r>
      <w:r>
        <w:t>оснаще</w:t>
      </w:r>
      <w:r>
        <w:t>нию</w:t>
      </w:r>
      <w:r>
        <w:rPr>
          <w:spacing w:val="40"/>
        </w:rPr>
        <w:t xml:space="preserve"> </w:t>
      </w:r>
      <w:r>
        <w:t>специальными</w:t>
      </w:r>
      <w:r>
        <w:rPr>
          <w:spacing w:val="40"/>
        </w:rPr>
        <w:t xml:space="preserve"> </w:t>
      </w:r>
      <w:r>
        <w:t>приспособлениями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оборудованием для свободного передвижения и доступа инвалидов и других маломобильных групп населения, относятся:</w:t>
      </w:r>
    </w:p>
    <w:p w:rsidR="005B71FD" w:rsidRDefault="0085261D">
      <w:pPr>
        <w:pStyle w:val="a4"/>
        <w:numPr>
          <w:ilvl w:val="0"/>
          <w:numId w:val="1"/>
        </w:numPr>
        <w:tabs>
          <w:tab w:val="left" w:pos="992"/>
        </w:tabs>
        <w:ind w:left="992" w:right="0" w:hanging="163"/>
        <w:jc w:val="left"/>
        <w:rPr>
          <w:sz w:val="28"/>
        </w:rPr>
      </w:pPr>
      <w:r>
        <w:rPr>
          <w:sz w:val="28"/>
        </w:rPr>
        <w:t>жилые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2"/>
          <w:sz w:val="28"/>
        </w:rPr>
        <w:t xml:space="preserve"> фонда;</w:t>
      </w:r>
    </w:p>
    <w:p w:rsidR="005B71FD" w:rsidRDefault="0085261D">
      <w:pPr>
        <w:pStyle w:val="a4"/>
        <w:numPr>
          <w:ilvl w:val="0"/>
          <w:numId w:val="1"/>
        </w:numPr>
        <w:tabs>
          <w:tab w:val="left" w:pos="992"/>
        </w:tabs>
        <w:ind w:left="992" w:right="0" w:hanging="163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сооружения;</w:t>
      </w:r>
    </w:p>
    <w:p w:rsidR="005B71FD" w:rsidRDefault="0085261D">
      <w:pPr>
        <w:pStyle w:val="a4"/>
        <w:numPr>
          <w:ilvl w:val="0"/>
          <w:numId w:val="1"/>
        </w:numPr>
        <w:tabs>
          <w:tab w:val="left" w:pos="992"/>
        </w:tabs>
        <w:ind w:right="1233" w:firstLine="708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культурно-зрелищные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(театры, библиотеки, музеи, места отправления религиозных обрядов и т.д.);</w:t>
      </w:r>
    </w:p>
    <w:p w:rsidR="005B71FD" w:rsidRDefault="005B71FD">
      <w:pPr>
        <w:pStyle w:val="a3"/>
        <w:ind w:left="0"/>
        <w:jc w:val="left"/>
        <w:rPr>
          <w:sz w:val="20"/>
        </w:rPr>
      </w:pPr>
    </w:p>
    <w:p w:rsidR="005B71FD" w:rsidRDefault="005B71FD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5B71FD" w:rsidRDefault="005B71FD">
      <w:pPr>
        <w:pStyle w:val="a3"/>
        <w:ind w:left="0"/>
        <w:jc w:val="left"/>
        <w:rPr>
          <w:sz w:val="20"/>
        </w:rPr>
      </w:pPr>
    </w:p>
    <w:p w:rsidR="005B71FD" w:rsidRDefault="005B71FD">
      <w:pPr>
        <w:pStyle w:val="a3"/>
        <w:spacing w:before="170"/>
        <w:ind w:left="0"/>
        <w:jc w:val="left"/>
        <w:rPr>
          <w:sz w:val="20"/>
        </w:rPr>
      </w:pPr>
    </w:p>
    <w:p w:rsidR="005B71FD" w:rsidRDefault="005B71FD">
      <w:pPr>
        <w:rPr>
          <w:sz w:val="20"/>
        </w:rPr>
        <w:sectPr w:rsidR="005B71FD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5B71FD" w:rsidRDefault="0085261D">
      <w:pPr>
        <w:pStyle w:val="a3"/>
        <w:ind w:right="184" w:firstLine="708"/>
      </w:pPr>
      <w:r>
        <w:lastRenderedPageBreak/>
        <w:t>Перечисленные в статье 15 Закона №181-ФЗ гарантии являются конституционными и направлены на обеспечение инвалидам равных с другими гражданами возможностей в реализации их прав и свобод.</w:t>
      </w:r>
    </w:p>
    <w:p w:rsidR="005B71FD" w:rsidRDefault="0085261D">
      <w:pPr>
        <w:pStyle w:val="a3"/>
        <w:spacing w:before="1"/>
        <w:ind w:right="185" w:firstLine="708"/>
      </w:pPr>
      <w:r>
        <w:t>За несоблюдение требований законодательства в сфере соблюдения прав ин</w:t>
      </w:r>
      <w:r>
        <w:t>валидов предусмотрена административная ответственность.</w:t>
      </w:r>
    </w:p>
    <w:p w:rsidR="005B71FD" w:rsidRDefault="0085261D">
      <w:pPr>
        <w:pStyle w:val="a3"/>
        <w:ind w:right="184" w:firstLine="708"/>
      </w:pPr>
      <w:r>
        <w:t xml:space="preserve">Так, за уклонение от исполнения требований к обеспечению условий для доступа инвалидов к объектам инженерной, транспортной и социальной инфраструктур предусмотрена административная ответственность по </w:t>
      </w:r>
      <w:r>
        <w:t>ст. 9.13 КоАП</w:t>
      </w:r>
      <w:r>
        <w:rPr>
          <w:spacing w:val="-9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штрафа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 до 3 тыс. рублей; на юридических лиц - от 20 до 30 тыс. рублей.</w:t>
      </w:r>
    </w:p>
    <w:p w:rsidR="005B71FD" w:rsidRDefault="0085261D">
      <w:pPr>
        <w:pStyle w:val="a3"/>
        <w:ind w:right="185" w:firstLine="708"/>
      </w:pPr>
      <w:r>
        <w:t>Согласно ст. 20, 21 Закона №181-ФЗ в организациях независимо от организационно-правовых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собственн</w:t>
      </w:r>
      <w:r>
        <w:t>ости,</w:t>
      </w:r>
      <w:r>
        <w:rPr>
          <w:spacing w:val="-18"/>
        </w:rPr>
        <w:t xml:space="preserve"> </w:t>
      </w:r>
      <w:r>
        <w:t>численность</w:t>
      </w:r>
      <w:r>
        <w:rPr>
          <w:spacing w:val="-17"/>
        </w:rPr>
        <w:t xml:space="preserve"> </w:t>
      </w:r>
      <w:r>
        <w:t xml:space="preserve">работников которых составляет более 100 человек, устанавливается квота для приема на работу инвалидов и минимального количества специальных рабочих мест для </w:t>
      </w:r>
      <w:r>
        <w:rPr>
          <w:spacing w:val="-2"/>
        </w:rPr>
        <w:t>инвалидов.</w:t>
      </w:r>
    </w:p>
    <w:p w:rsidR="005B71FD" w:rsidRDefault="0085261D">
      <w:pPr>
        <w:pStyle w:val="a3"/>
        <w:ind w:right="184" w:firstLine="708"/>
      </w:pPr>
      <w:r>
        <w:t>Работодатели, для которых квота для приема на работу инвалидов не уста</w:t>
      </w:r>
      <w:r>
        <w:t>навливается, создают специальные рабочие места для трудоустройства инвалидов.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труда.</w:t>
      </w:r>
    </w:p>
    <w:p w:rsidR="005B71FD" w:rsidRDefault="0085261D">
      <w:pPr>
        <w:pStyle w:val="a3"/>
        <w:ind w:right="184" w:firstLine="708"/>
      </w:pP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работодателем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выделению рабочих мест для трудоустройства инвалидов в соответствии с установленной квотой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7"/>
        </w:rPr>
        <w:t>на</w:t>
      </w:r>
    </w:p>
    <w:p w:rsidR="005B71FD" w:rsidRDefault="005B71FD">
      <w:pPr>
        <w:sectPr w:rsidR="005B71FD">
          <w:headerReference w:type="default" r:id="rId7"/>
          <w:pgSz w:w="11910" w:h="16840"/>
          <w:pgMar w:top="960" w:right="380" w:bottom="280" w:left="1580" w:header="753" w:footer="0" w:gutter="0"/>
          <w:pgNumType w:start="2"/>
          <w:cols w:space="720"/>
        </w:sectPr>
      </w:pPr>
    </w:p>
    <w:p w:rsidR="005B71FD" w:rsidRDefault="0085261D">
      <w:pPr>
        <w:pStyle w:val="a3"/>
        <w:spacing w:before="272"/>
        <w:ind w:right="184"/>
      </w:pPr>
      <w:r>
        <w:lastRenderedPageBreak/>
        <w:t>работу инвалида в пределах установленной квоты, влечет наложение административного</w:t>
      </w:r>
      <w:r>
        <w:rPr>
          <w:spacing w:val="-18"/>
        </w:rPr>
        <w:t xml:space="preserve"> </w:t>
      </w:r>
      <w:r>
        <w:t>штрафа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размере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тыс.</w:t>
      </w:r>
      <w:r>
        <w:rPr>
          <w:spacing w:val="-17"/>
        </w:rPr>
        <w:t xml:space="preserve"> </w:t>
      </w:r>
      <w:r>
        <w:t xml:space="preserve">рублей (ч. </w:t>
      </w:r>
      <w:r>
        <w:t>1 ст. 5.42 КоАП РФ).</w:t>
      </w:r>
    </w:p>
    <w:p w:rsidR="005B71FD" w:rsidRDefault="0085261D">
      <w:pPr>
        <w:pStyle w:val="a3"/>
        <w:ind w:right="184" w:firstLine="708"/>
      </w:pPr>
      <w:r>
        <w:t>На каждой стоянке (остановке) автотранспортных средств, в том числе около предприятий торговли, сферы услуг, медицинских, спортивных и культурно-зрелищных учреждений, выделяется не менее 10 процентов мест (но не менее одного места) для</w:t>
      </w:r>
      <w:r>
        <w:t xml:space="preserve">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5B71FD" w:rsidRDefault="0085261D">
      <w:pPr>
        <w:pStyle w:val="a3"/>
        <w:ind w:right="184" w:firstLine="708"/>
      </w:pPr>
      <w:r>
        <w:t>Нарушение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законодательства,</w:t>
      </w:r>
      <w:r>
        <w:rPr>
          <w:spacing w:val="-16"/>
        </w:rPr>
        <w:t xml:space="preserve"> </w:t>
      </w:r>
      <w:r>
        <w:t>предусматривающ</w:t>
      </w:r>
      <w:r>
        <w:t>их</w:t>
      </w:r>
      <w:r>
        <w:rPr>
          <w:spacing w:val="-16"/>
        </w:rPr>
        <w:t xml:space="preserve"> </w:t>
      </w:r>
      <w:r>
        <w:t>выделение на автомобильных стоянках (остановках) мест для специальных автотранспортных средств инвалидов, влечет наложение административного штрафа на должностных лиц в размере от 3 до 5 тыс. рублей; на юридических лиц - от 30 до 50 тыс. рублей (ст. 5.4</w:t>
      </w:r>
      <w:r>
        <w:t>3 КоАП РФ).</w:t>
      </w:r>
    </w:p>
    <w:p w:rsidR="005B71FD" w:rsidRDefault="0085261D">
      <w:pPr>
        <w:pStyle w:val="a3"/>
        <w:ind w:right="185" w:firstLine="708"/>
      </w:pPr>
      <w:r>
        <w:t>Проводимые проверки подтверждают, что нарушение прав инвалидов имеют распространенный</w:t>
      </w:r>
      <w:r>
        <w:rPr>
          <w:spacing w:val="40"/>
        </w:rPr>
        <w:t xml:space="preserve"> </w:t>
      </w:r>
      <w:r>
        <w:t>характер.</w:t>
      </w:r>
    </w:p>
    <w:p w:rsidR="005B71FD" w:rsidRDefault="0085261D">
      <w:pPr>
        <w:pStyle w:val="a3"/>
        <w:ind w:right="185" w:firstLine="708"/>
      </w:pPr>
      <w:r>
        <w:t>В связи с чем прокуратура ориентирована на постоянный мониторинг ситуации с целью соблюдения прав и законных интересов инвалидов органами местного самоуправления, организациями</w:t>
      </w:r>
      <w:r>
        <w:rPr>
          <w:spacing w:val="40"/>
        </w:rPr>
        <w:t xml:space="preserve"> </w:t>
      </w:r>
      <w:r>
        <w:t>независимо от организационно- правовых форм.</w:t>
      </w:r>
    </w:p>
    <w:p w:rsidR="005B71FD" w:rsidRDefault="0085261D">
      <w:pPr>
        <w:spacing w:before="1"/>
        <w:ind w:left="121" w:right="185" w:firstLine="708"/>
        <w:jc w:val="both"/>
        <w:rPr>
          <w:b/>
          <w:sz w:val="28"/>
        </w:rPr>
      </w:pPr>
      <w:r>
        <w:rPr>
          <w:b/>
          <w:sz w:val="28"/>
        </w:rPr>
        <w:t>О результатах размещения информаци</w:t>
      </w:r>
      <w:r>
        <w:rPr>
          <w:b/>
          <w:sz w:val="28"/>
        </w:rPr>
        <w:t>и на сайте органа местного самоуправления сообщить в прокуратуру района до 12.06.2024 с приложением скриншота.</w:t>
      </w:r>
    </w:p>
    <w:p w:rsidR="005B71FD" w:rsidRDefault="005B71FD">
      <w:pPr>
        <w:pStyle w:val="a3"/>
        <w:spacing w:before="170"/>
        <w:ind w:left="0"/>
        <w:jc w:val="left"/>
        <w:rPr>
          <w:b/>
        </w:rPr>
      </w:pPr>
    </w:p>
    <w:p w:rsidR="005B71FD" w:rsidRDefault="0085261D">
      <w:pPr>
        <w:pStyle w:val="a3"/>
      </w:pPr>
      <w:r>
        <w:t xml:space="preserve">Прокурор </w:t>
      </w:r>
      <w:r>
        <w:rPr>
          <w:spacing w:val="-2"/>
        </w:rPr>
        <w:t>района</w:t>
      </w:r>
    </w:p>
    <w:p w:rsidR="005B71FD" w:rsidRDefault="0085261D" w:rsidP="00A4335E">
      <w:pPr>
        <w:pStyle w:val="a3"/>
        <w:tabs>
          <w:tab w:val="left" w:pos="8288"/>
        </w:tabs>
        <w:spacing w:before="158"/>
        <w:rPr>
          <w:sz w:val="20"/>
        </w:rPr>
      </w:pPr>
      <w:r>
        <w:t>советник</w:t>
      </w:r>
      <w:r>
        <w:rPr>
          <w:spacing w:val="-1"/>
        </w:rPr>
        <w:t xml:space="preserve"> </w:t>
      </w:r>
      <w:r>
        <w:rPr>
          <w:spacing w:val="-2"/>
        </w:rPr>
        <w:t>юстиции</w:t>
      </w:r>
      <w:r>
        <w:tab/>
      </w:r>
    </w:p>
    <w:p w:rsidR="005B71FD" w:rsidRDefault="005B71FD">
      <w:pPr>
        <w:pStyle w:val="a3"/>
        <w:ind w:left="0"/>
        <w:jc w:val="left"/>
      </w:pPr>
    </w:p>
    <w:p w:rsidR="005B71FD" w:rsidRDefault="005B71FD">
      <w:pPr>
        <w:pStyle w:val="a3"/>
        <w:ind w:left="0"/>
        <w:jc w:val="left"/>
      </w:pPr>
    </w:p>
    <w:p w:rsidR="005B71FD" w:rsidRDefault="005B71FD">
      <w:pPr>
        <w:pStyle w:val="a3"/>
        <w:ind w:left="0"/>
        <w:jc w:val="left"/>
      </w:pPr>
    </w:p>
    <w:p w:rsidR="005B71FD" w:rsidRDefault="005B71FD">
      <w:pPr>
        <w:pStyle w:val="a3"/>
        <w:spacing w:before="79"/>
        <w:ind w:left="0"/>
        <w:jc w:val="left"/>
      </w:pPr>
    </w:p>
    <w:p w:rsidR="005B71FD" w:rsidRDefault="005B71FD">
      <w:pPr>
        <w:spacing w:before="1"/>
        <w:ind w:left="121"/>
        <w:jc w:val="both"/>
        <w:rPr>
          <w:sz w:val="24"/>
        </w:rPr>
      </w:pPr>
    </w:p>
    <w:sectPr w:rsidR="005B71FD">
      <w:pgSz w:w="11910" w:h="16840"/>
      <w:pgMar w:top="960" w:right="380" w:bottom="280" w:left="158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1D" w:rsidRDefault="0085261D">
      <w:r>
        <w:separator/>
      </w:r>
    </w:p>
  </w:endnote>
  <w:endnote w:type="continuationSeparator" w:id="0">
    <w:p w:rsidR="0085261D" w:rsidRDefault="0085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1D" w:rsidRDefault="0085261D">
      <w:r>
        <w:separator/>
      </w:r>
    </w:p>
  </w:footnote>
  <w:footnote w:type="continuationSeparator" w:id="0">
    <w:p w:rsidR="0085261D" w:rsidRDefault="0085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FD" w:rsidRDefault="0085261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4066692</wp:posOffset>
              </wp:positionH>
              <wp:positionV relativeFrom="page">
                <wp:posOffset>465759</wp:posOffset>
              </wp:positionV>
              <wp:extent cx="16002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71FD" w:rsidRDefault="0085261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4335E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20.2pt;margin-top:36.65pt;width:12.6pt;height:13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" filled="f" stroked="f">
              <v:path arrowok="t"/>
              <v:textbox inset="0,0,0,0">
                <w:txbxContent>
                  <w:p w:rsidR="005B71FD" w:rsidRDefault="0085261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4335E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662"/>
    <w:multiLevelType w:val="hybridMultilevel"/>
    <w:tmpl w:val="70E21EB4"/>
    <w:lvl w:ilvl="0" w:tplc="28B2879E"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8813F4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CFD4723A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B5E6E152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9EC20332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EB327DD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1FE60C1C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FBA4730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F510FCF0">
      <w:numFmt w:val="bullet"/>
      <w:lvlText w:val="•"/>
      <w:lvlJc w:val="left"/>
      <w:pPr>
        <w:ind w:left="798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71FD"/>
    <w:rsid w:val="005B71FD"/>
    <w:rsid w:val="0085261D"/>
    <w:rsid w:val="00A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8B6F"/>
  <w15:docId w15:val="{8ADE8D4B-4CA8-41C1-85CB-E548CEF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8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Рабочий</cp:lastModifiedBy>
  <cp:revision>3</cp:revision>
  <dcterms:created xsi:type="dcterms:W3CDTF">2024-06-17T06:43:00Z</dcterms:created>
  <dcterms:modified xsi:type="dcterms:W3CDTF">2024-06-17T06:47:00Z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2024-06-17T00:00:00Z</vt:filetime>
  </property>
  <property fmtid="{D5CDD505-2E9C-101B-9397-08002B2CF9AE}" pid="5" name="Producer">
    <vt:lpwstr>Aspose.PDF for .NET 22.5.0</vt:lpwstr>
  </property>
</Properties>
</file>