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01FC"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Доклад</w:t>
      </w:r>
    </w:p>
    <w:p w14:paraId="4459EB7A"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о проделанной работе</w:t>
      </w:r>
    </w:p>
    <w:p w14:paraId="48AB735F"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по социально-экономическому развитию</w:t>
      </w:r>
    </w:p>
    <w:p w14:paraId="7475EB5C"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6AD31F2E"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в отчетном 2020 году</w:t>
      </w:r>
    </w:p>
    <w:p w14:paraId="4060242B" w14:textId="77777777" w:rsidR="001911ED" w:rsidRDefault="001911ED" w:rsidP="001911ED">
      <w:pPr>
        <w:pStyle w:val="a3"/>
        <w:shd w:val="clear" w:color="auto" w:fill="FFFFFF"/>
        <w:spacing w:before="0" w:beforeAutospacing="0"/>
        <w:jc w:val="center"/>
        <w:rPr>
          <w:color w:val="212121"/>
          <w:sz w:val="21"/>
          <w:szCs w:val="21"/>
        </w:rPr>
      </w:pPr>
      <w:r>
        <w:rPr>
          <w:b/>
          <w:bCs/>
          <w:color w:val="212121"/>
          <w:sz w:val="21"/>
          <w:szCs w:val="21"/>
        </w:rPr>
        <w:t>и перспективах развития в текущем 2021 году</w:t>
      </w:r>
    </w:p>
    <w:p w14:paraId="43585439"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 </w:t>
      </w:r>
    </w:p>
    <w:p w14:paraId="2EA3D6F0"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   </w:t>
      </w:r>
    </w:p>
    <w:p w14:paraId="5E7992EC"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 </w:t>
      </w:r>
    </w:p>
    <w:p w14:paraId="79064A7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Первомайское сельское поселение расположено в южной части Подгоренского муниципального района, занимает площадь 3,5 тыс.га. В состав поселения входят 3 населённых пункта: х. Суд-Николаевка – административный центр, х. Покровка, х. Марс.</w:t>
      </w:r>
    </w:p>
    <w:p w14:paraId="016486B0"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На территории поселения имеется социальные объекты: МКОУ Первомайская ООШ, дошкольная группа МКОУ Первомайская ООШ, Первомайский ФАП, почтовое отделение, Первомайский СДК, Первомайская сельская библиотека.</w:t>
      </w:r>
    </w:p>
    <w:p w14:paraId="088FC95C"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В 2020 году родился 2 человек, умерло 15 человека, прибыли - 8, выбыли –10. Численность населения на 1 января 2021 года составляет 659 человека.</w:t>
      </w:r>
    </w:p>
    <w:p w14:paraId="0F2C837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39BC8F03"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Общий объем доходов в 2020 году составил 49 160 668,07 руб., из них:</w:t>
      </w:r>
    </w:p>
    <w:p w14:paraId="11C7445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налоговые и неналоговые (собственные) доходы - 977 556.57 руб.;</w:t>
      </w:r>
    </w:p>
    <w:p w14:paraId="24948788"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безвозмездные поступления - 48 183 111,50 руб., в т.ч. субсидия на строительство автомобильной дороги к корпусу по переработке, хранению и отгрузке с/х продукции на территории х.Марс Подгоренского муниципального района Воронежской области 42 186 868,88 руб.</w:t>
      </w:r>
    </w:p>
    <w:p w14:paraId="71203768"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7BFA8A29"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В 2020 году на территории Первомайского сельского поселения были реализованы следующие мероприятия:</w:t>
      </w:r>
    </w:p>
    <w:p w14:paraId="559350FD"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Строительство автомобильной дороги к корпусу по переработке, хранению и отгрузке с/х продукции на территории х. Марс,</w:t>
      </w:r>
    </w:p>
    <w:p w14:paraId="0F96CAC3"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В отчетном году выделены денежные средства в сумме 42 186 868, 88 рублей на строительство автомобильной дороги к корпусу по переработке, хранению и отгрузке с/х продукции на территории х. Марс, Подгоренского муниципального района Воронежской области при реализации основного мероприятия «Осуществление части полномочий, передаваемых из бюджета муниципального района по капитальному ремонту, ремонту и содержанию автомобильных дорог общего пользования местного значения и искусственных сооружений на них» в рамках подпрограммы «Комплексное развитие сельских территорий Воронежской области»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подпрограммы «Создание и развитие инфраструктуры на сельских территориях» государственной программы РФ «Комплексное развитие сельских территорий».</w:t>
      </w:r>
    </w:p>
    <w:p w14:paraId="26ED4DF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lastRenderedPageBreak/>
        <w:t> </w:t>
      </w:r>
    </w:p>
    <w:p w14:paraId="78D3EBBE"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Строительство газопровода среднего и низкого давления х. Покровка</w:t>
      </w:r>
    </w:p>
    <w:p w14:paraId="7507C604"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46447A2B"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В 2020 году велось строительство объекта газоснабжения «Газопровод среднего и низкого давления х. Покровка Подгоренского муниципального района Воронежской области» за счет средств областного бюджета в размере 2 434 000 руб. Завершение строительства планируется в 2021 году.</w:t>
      </w:r>
    </w:p>
    <w:p w14:paraId="4C0FA10E"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Ремонт дорог</w:t>
      </w:r>
    </w:p>
    <w:p w14:paraId="0EA28356"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Дорожный фонд поселения в 2020 году составил 725 575 руб. Эти средства были потрачены на отсыпку щебнем дороги по ул. Дачная х.Марс, протяженностью 273 м и ямочный ремонт дорог с твёрдым покрытием по улицам Советская, Молодежная и Садовая, а также на обслужиавание дорог местного значения и оборудован пешеходный переход и искусственные неровности у МКОУ Первомайская ООШ в х. Суд-Николаевка. В 2020 году из областного бюджета было выделено 1231 919 руб., данные средства были направлены на ремонт 341 м асфальтового покрытия дороги по ул. Зеленая х. Суд-Николаевка.</w:t>
      </w:r>
    </w:p>
    <w:p w14:paraId="0B952747"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"Строительство газовой котельной Первомайского сельского Дома культуры"</w:t>
      </w:r>
    </w:p>
    <w:p w14:paraId="741088A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В 2020 году осуществлялось   строительство газовой котельной Первомайского сельского Дома культуры. На данное мероприятие использованы из местного бюджета денежные средства в размере 1000 006 рублей. В эту сумму вошли средства по договору на строительство здания котельной, часть средств по договору на газификацию объекта, осуществляемому по принципу «единое окно» ОАО «Газпром Газорапределение Воронеж», договору на установку системы дымоудаления и вентиляции, приобретение газового оборудовния и материалов. В настоящее время производятся работы, связанные с подключением газового оборудования и установкой системы дымоудаления и вентиляции.</w:t>
      </w:r>
    </w:p>
    <w:p w14:paraId="3956B7BF"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4ED3EED5"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Благодаря совместной деятельности с государственным казенным учреждением Воронежской области Центр занятости населения Подгоренского района по организации оплачиваемых общественных работ в рамках программы государственной службы занятости «Содействие занятости населения Воронежской области на 2010-2020 годы» произведились работы по благоустройству территории поселения.</w:t>
      </w:r>
    </w:p>
    <w:p w14:paraId="337E300E"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 </w:t>
      </w:r>
    </w:p>
    <w:p w14:paraId="0B06584A"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Информация о выполнении соглашений:</w:t>
      </w:r>
    </w:p>
    <w:p w14:paraId="0D75C223"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из 16 показателей эффективности;</w:t>
      </w:r>
    </w:p>
    <w:p w14:paraId="79A5757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выполнены на 100 % - 2 показателей;</w:t>
      </w:r>
    </w:p>
    <w:p w14:paraId="5B98D56F"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перевыполнено - 6 показателей,</w:t>
      </w:r>
    </w:p>
    <w:p w14:paraId="1140F6F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не выполнено - 8 показателей.</w:t>
      </w:r>
    </w:p>
    <w:p w14:paraId="044E397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47FE7F3D"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Выполненные показатели:  </w:t>
      </w:r>
    </w:p>
    <w:p w14:paraId="0964232D"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                                                          </w:t>
      </w:r>
    </w:p>
    <w:p w14:paraId="61A62AEB"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11. Уровень информирования через сайты поселений.</w:t>
      </w:r>
    </w:p>
    <w:p w14:paraId="3EC974B4"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lastRenderedPageBreak/>
        <w:t> </w:t>
      </w:r>
    </w:p>
    <w:p w14:paraId="518EF67B"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13. Содержание мест захоронения (кладбищ).</w:t>
      </w:r>
    </w:p>
    <w:p w14:paraId="7492A565"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38E0164B"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Перевыполненные показатели:   </w:t>
      </w:r>
    </w:p>
    <w:p w14:paraId="07C405CE"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Составляет 19,70 % при плане 17,58%.</w:t>
      </w:r>
    </w:p>
    <w:p w14:paraId="061F590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7BA7F773"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3. Удельный вес недоимки по налогу на имущество физических лиц на 1 января года, следующего за отчетным, к общему объему поступления доходов в местный бюджет поселения от налога на имущество физических лиц за отчетный период. Составляет   38,1% при плане 40,24%.</w:t>
      </w:r>
    </w:p>
    <w:p w14:paraId="75CCEBA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5179C06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4.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14:paraId="46D65188"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2702B7C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6. Доля протяженности освещенных частей улиц, проездов, набережных к их общей протяженности на конец отчетного года.</w:t>
      </w:r>
    </w:p>
    <w:p w14:paraId="2E504FC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5A11C8B4"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7. Участие поселения в мероприятиях государственных программ Воронежской области.</w:t>
      </w:r>
    </w:p>
    <w:p w14:paraId="774D96C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9. Реализация местных инициатив территориального общественного самоуправления и ппроектов в рамках инициативного бюджетирования, участие поселений во всероссийских и региональных конкурсах и проектах.</w:t>
      </w:r>
    </w:p>
    <w:p w14:paraId="769F2883"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52E2151C"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Не выполненные показатели:</w:t>
      </w:r>
    </w:p>
    <w:p w14:paraId="4650C630"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2. Удельный вес недоимки по земельному налогу на 1 января года, следующего за отчетным к общему объему поступления доходов в местный бюджет поселения от земельного налога за отчетный период составляет 11,4% при плане 8,74%.</w:t>
      </w:r>
    </w:p>
    <w:p w14:paraId="23CFF24F"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7B8F967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Увеличение удельного веса недоимки по земельному налогу (это 84 616 руб.) произошло в результате неуплаты налогов безнадежных к взысканию: умершими гражданами - 3970 руб.; гражданами, ранее зарегистрированными на территории поселения, в настоящее же время выбывшими уже более 3-х лет - 29 853руб., а также проживающими за пределами региона – 20 033 руб. В настоящее время идёт работа по сокращению недоимки.</w:t>
      </w:r>
    </w:p>
    <w:p w14:paraId="4E8D38C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1AC86F2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xml:space="preserve">5. Сумма привлеченных инвестиций участниками государственной программы "Развитие сельского хозяйства, производства пищевых продуктов и инфраструктуры продовольственного рынка" по </w:t>
      </w:r>
      <w:r>
        <w:rPr>
          <w:color w:val="212121"/>
          <w:sz w:val="21"/>
          <w:szCs w:val="21"/>
        </w:rPr>
        <w:lastRenderedPageBreak/>
        <w:t>мероприятим: «Поддержка начинающих фермеров», «Развитие семейных жэивотноводческих ферм на базе крестьякских (фермерский) хозяйств», «Улучшение жилищных условий граждан, в том числе молодых семей и молодых специалистов, проживающих и работающих в сельской местности» по итогам составила 0 млн.руб. при плане 0,5 млн.руб..</w:t>
      </w:r>
    </w:p>
    <w:p w14:paraId="165C2559"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6811916F"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Семей для участия в мероприятии "Улучшение жилищных условий граждан, в том числе молодых семей и молодых специалистов, проживающих в сельской местности" на территории поселения в 2020 году не было. Мероприятия " Поддержка начинающих фермеров" и " Развитие семейных животноводческих ферм на базе крестьянских (фермерских) хозяйств" на территории поселения не осуществлялись, т.к. не нашлось желающих в них поучаствовать, хотя информирование населения об этих мероприятиях проводилась.</w:t>
      </w:r>
    </w:p>
    <w:p w14:paraId="050541D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35BAB76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8. Численность занятых в сфере малого и среднего предпринимательства, включая индивидуальных предпринимателей, составила 72 человека при плане 74 человека. Это обусловлено сменой статуса двух жителей поселения в органах налоговой инспекции с «ИП» на «самозанятый».</w:t>
      </w:r>
    </w:p>
    <w:p w14:paraId="5719F6E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1A20EC2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10. Доля населения, не охваченного профилактическими флюрографическими медицинскими осмотрами, составляет 65% при плане в 15%. Невыполнение показателя произошло в результате мероприятий, связанных с огрничениями в период пандемии и коронавируса.</w:t>
      </w:r>
    </w:p>
    <w:p w14:paraId="7C0F986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7D55E51A"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12. Наличие направленных в районную административную комиссию материалов по административным правонарушениям снизилось до 2 единиц при плане 8 единиц, так как   в апреле 2020г. были введены и далее продлены меры по обеспечению санитарно-эпидемиологического благополучия населения  в связи с распространением новой коронавирусной инфекции (COVID-19).</w:t>
      </w:r>
    </w:p>
    <w:p w14:paraId="6343203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14.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w:t>
      </w:r>
    </w:p>
    <w:p w14:paraId="21389F80"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При плане 4,9% доля населения, принявшего участие в выполнении нормативов испытаний (тестов) Всероссийского физкультурно-спортивного комплекса «Готов к труду и обороне» (ГТО) в общей численности населения, составляет 3,3%, так как были введены ограничительные меры по недопущению распространения коронавирусной инфекции.</w:t>
      </w:r>
    </w:p>
    <w:p w14:paraId="144BB517"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376EE0B0"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15. Участие сборных команд поселения в официальных физкультурно-оздоровительных спортивных мероприятиях муниципального района.</w:t>
      </w:r>
    </w:p>
    <w:p w14:paraId="33AE95A8"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Было запланировано принять участие в 8 районных спортивных мероприятиях, команда поселения приняла участие в двух таких мероприятиях до апреля 2020 г.</w:t>
      </w:r>
    </w:p>
    <w:p w14:paraId="4BB02014"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16. Количество направленных предложений в рамках нарушений земельного законодательства, подтвержденных проверкой, снизилось до 2 единиц, при плане 5 единиц, в связи с введением ограничительных мер по недопущению распространения новой коронавирусной инфекции.</w:t>
      </w:r>
    </w:p>
    <w:p w14:paraId="3ECB7522"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1E597956" w14:textId="77777777" w:rsidR="001911ED" w:rsidRDefault="001911ED" w:rsidP="001911ED">
      <w:pPr>
        <w:pStyle w:val="a3"/>
        <w:shd w:val="clear" w:color="auto" w:fill="FFFFFF"/>
        <w:spacing w:before="0" w:beforeAutospacing="0"/>
        <w:jc w:val="center"/>
        <w:rPr>
          <w:color w:val="212121"/>
          <w:sz w:val="21"/>
          <w:szCs w:val="21"/>
        </w:rPr>
      </w:pPr>
      <w:r>
        <w:rPr>
          <w:color w:val="212121"/>
          <w:sz w:val="21"/>
          <w:szCs w:val="21"/>
        </w:rPr>
        <w:t>Планы на 2021 год:</w:t>
      </w:r>
    </w:p>
    <w:p w14:paraId="6990A5DE"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lastRenderedPageBreak/>
        <w:t>- завершение строительства газопровода среднего и низкого давления в х. Покровка;</w:t>
      </w:r>
    </w:p>
    <w:p w14:paraId="6D38166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перевод на газовое топливо здания Первомайского СДК;</w:t>
      </w:r>
    </w:p>
    <w:p w14:paraId="1BBF7430"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подана заявка на получение гранта на реализацию проекта «Благоустройство кладбища ул.Полевая»;</w:t>
      </w:r>
    </w:p>
    <w:p w14:paraId="1AD90D1D"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обустройство площадок сбора твердых коммунальных отходов на территории поселения;</w:t>
      </w:r>
    </w:p>
    <w:p w14:paraId="13D8C371"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ремонт и отсыпка дорог местного значения в хуторах х. Суд-Николаевка, х. Покровка, х. Марс;</w:t>
      </w:r>
    </w:p>
    <w:p w14:paraId="7DCE7879"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 установка проблескового светофора и ограждения пешеходного перехода у МКОУ Первомайская ООШ;</w:t>
      </w:r>
    </w:p>
    <w:p w14:paraId="74F0C386"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продолжить работу по благоустройство поселения.</w:t>
      </w:r>
    </w:p>
    <w:p w14:paraId="5389D866"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6A3FB079"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 </w:t>
      </w:r>
    </w:p>
    <w:p w14:paraId="2861EF9F" w14:textId="77777777" w:rsidR="001911ED" w:rsidRDefault="001911ED" w:rsidP="001911ED">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И.В.Белодедова</w:t>
      </w:r>
    </w:p>
    <w:p w14:paraId="1A34638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9611C"/>
    <w:rsid w:val="001911ED"/>
    <w:rsid w:val="008C2AB2"/>
    <w:rsid w:val="00D96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B59B2-BF06-425C-B114-6D697E37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1ED"/>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8690</Characters>
  <Application>Microsoft Office Word</Application>
  <DocSecurity>0</DocSecurity>
  <Lines>72</Lines>
  <Paragraphs>20</Paragraphs>
  <ScaleCrop>false</ScaleCrop>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2023-03-16T08:54:00Z</dcterms:created>
  <dcterms:modified xsi:type="dcterms:W3CDTF">2023-03-16T08:54:00Z</dcterms:modified>
</cp:coreProperties>
</file>