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14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ИЗБИРАТЕЛЬНАЯ КОМИССИЯ</w:t>
      </w:r>
    </w:p>
    <w:p w:rsidR="003F76F9" w:rsidRPr="003066ED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7A2C1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ПЕРВОМАЙСКОГО  </w:t>
      </w:r>
      <w:r w:rsidR="0014635E"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СЕЛЬСКОГО</w:t>
      </w:r>
      <w:r w:rsidR="007A2C1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ПОСЕЛЕНИЯ  ПОДГОРЕНСКОГО МУНИЦИПАЛЬНОГО РАЙОНА </w:t>
      </w:r>
    </w:p>
    <w:p w:rsidR="003F76F9" w:rsidRPr="003066ED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3F76F9" w:rsidRPr="003F76F9" w:rsidRDefault="003F76F9" w:rsidP="003F76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F76F9" w:rsidRPr="003F76F9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F76F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3F76F9" w:rsidRPr="003F76F9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241B7" w:rsidRDefault="00E241B7" w:rsidP="007A2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2C14" w:rsidRPr="004B14CE" w:rsidRDefault="007A2C14" w:rsidP="007A2C1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14CE">
        <w:rPr>
          <w:rFonts w:ascii="Times New Roman" w:hAnsi="Times New Roman" w:cs="Times New Roman"/>
          <w:sz w:val="26"/>
          <w:szCs w:val="26"/>
        </w:rPr>
        <w:t xml:space="preserve">«18»    июля 2020 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B14CE">
        <w:rPr>
          <w:rFonts w:ascii="Times New Roman" w:hAnsi="Times New Roman" w:cs="Times New Roman"/>
          <w:sz w:val="26"/>
          <w:szCs w:val="26"/>
        </w:rPr>
        <w:t xml:space="preserve">  </w:t>
      </w:r>
      <w:r w:rsidRPr="004B1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3/16</w:t>
      </w:r>
    </w:p>
    <w:p w:rsidR="003F76F9" w:rsidRPr="003F76F9" w:rsidRDefault="003F76F9" w:rsidP="003F76F9">
      <w:pPr>
        <w:spacing w:after="0" w:line="240" w:lineRule="auto"/>
        <w:ind w:right="49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14" w:rsidRDefault="00844F42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16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уполномоченного представителя </w:t>
      </w:r>
    </w:p>
    <w:p w:rsidR="007A2C14" w:rsidRDefault="00C16759" w:rsidP="003F76F9">
      <w:pPr>
        <w:spacing w:after="0" w:line="240" w:lineRule="auto"/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избирательного объединения </w:t>
      </w:r>
      <w:r w:rsidRPr="00C16759">
        <w:rPr>
          <w:rFonts w:ascii="Times New Roman" w:eastAsia="Calibri" w:hAnsi="Times New Roman" w:cs="Times New Roman"/>
          <w:b/>
          <w:sz w:val="28"/>
          <w:szCs w:val="28"/>
        </w:rPr>
        <w:t xml:space="preserve">Подгоренское местное </w:t>
      </w:r>
    </w:p>
    <w:p w:rsidR="003F76F9" w:rsidRPr="003066ED" w:rsidRDefault="00C1675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759">
        <w:rPr>
          <w:rFonts w:ascii="Times New Roman" w:eastAsia="Calibri" w:hAnsi="Times New Roman" w:cs="Times New Roman"/>
          <w:b/>
          <w:sz w:val="28"/>
          <w:szCs w:val="28"/>
        </w:rPr>
        <w:t xml:space="preserve">отделение </w:t>
      </w:r>
      <w:r w:rsidR="0014685B">
        <w:rPr>
          <w:rFonts w:ascii="Times New Roman" w:eastAsia="Calibri" w:hAnsi="Times New Roman" w:cs="Times New Roman"/>
          <w:b/>
          <w:sz w:val="28"/>
          <w:szCs w:val="28"/>
        </w:rPr>
        <w:t>ВРО ВПП</w:t>
      </w:r>
      <w:r w:rsidRPr="00C16759">
        <w:rPr>
          <w:rFonts w:ascii="Times New Roman" w:eastAsia="Calibri" w:hAnsi="Times New Roman" w:cs="Times New Roman"/>
          <w:b/>
          <w:sz w:val="28"/>
          <w:szCs w:val="28"/>
        </w:rPr>
        <w:t xml:space="preserve"> «ЕДИНАЯ РОССИЯ»</w:t>
      </w:r>
    </w:p>
    <w:p w:rsidR="003F76F9" w:rsidRPr="003F76F9" w:rsidRDefault="003F76F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41B7" w:rsidRDefault="0041776E" w:rsidP="00E241B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FB074E" w:rsidRDefault="0041776E" w:rsidP="00E241B7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C4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817">
        <w:rPr>
          <w:rFonts w:ascii="Times New Roman" w:eastAsia="Calibri" w:hAnsi="Times New Roman" w:cs="Times New Roman"/>
          <w:sz w:val="28"/>
          <w:szCs w:val="28"/>
        </w:rPr>
        <w:t>Рассмотрев документы</w:t>
      </w:r>
      <w:r w:rsidR="00C16759">
        <w:rPr>
          <w:rFonts w:ascii="Times New Roman" w:eastAsia="Calibri" w:hAnsi="Times New Roman" w:cs="Times New Roman"/>
          <w:sz w:val="28"/>
          <w:szCs w:val="28"/>
        </w:rPr>
        <w:t xml:space="preserve">, представленные в Избирательную комиссию </w:t>
      </w:r>
      <w:r w:rsidR="007A2C14">
        <w:rPr>
          <w:rFonts w:ascii="Times New Roman" w:eastAsia="Calibri" w:hAnsi="Times New Roman" w:cs="Times New Roman"/>
          <w:sz w:val="28"/>
          <w:szCs w:val="28"/>
        </w:rPr>
        <w:t xml:space="preserve">Первомайского </w:t>
      </w:r>
      <w:r w:rsidR="00AE3F9B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7A2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F9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2A7817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AE3F9B">
        <w:rPr>
          <w:rFonts w:ascii="Times New Roman" w:eastAsia="Calibri" w:hAnsi="Times New Roman" w:cs="Times New Roman"/>
          <w:sz w:val="28"/>
          <w:szCs w:val="28"/>
        </w:rPr>
        <w:t>регистрации уполномоченного представителя избирательного объединения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Подгоренское местное отделение </w:t>
      </w:r>
      <w:r w:rsidR="0014685B">
        <w:rPr>
          <w:rFonts w:ascii="Times New Roman" w:eastAsia="Calibri" w:hAnsi="Times New Roman" w:cs="Times New Roman"/>
          <w:sz w:val="28"/>
          <w:szCs w:val="28"/>
        </w:rPr>
        <w:t>ВРО ВПП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«ЕДИНАЯ РОССИЯ»,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выдвинувшего список кандидатов на выборах депутатов Совета народных депутатов </w:t>
      </w:r>
      <w:r w:rsidR="007A2C14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7A2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поселения Подгоренского района Воронежской области </w:t>
      </w:r>
      <w:r w:rsidR="007A2C14">
        <w:rPr>
          <w:rFonts w:ascii="Times New Roman" w:eastAsia="Calibri" w:hAnsi="Times New Roman" w:cs="Times New Roman"/>
          <w:sz w:val="28"/>
          <w:szCs w:val="28"/>
        </w:rPr>
        <w:t>четвёртого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 w:rsidR="0014685B">
        <w:rPr>
          <w:rFonts w:ascii="Times New Roman" w:eastAsia="Calibri" w:hAnsi="Times New Roman" w:cs="Times New Roman"/>
          <w:sz w:val="28"/>
          <w:szCs w:val="28"/>
        </w:rPr>
        <w:t>,</w:t>
      </w:r>
      <w:r w:rsidR="00083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</w:t>
      </w:r>
      <w:r w:rsidR="00083D8F">
        <w:rPr>
          <w:rFonts w:ascii="Times New Roman" w:eastAsia="Calibri" w:hAnsi="Times New Roman" w:cs="Times New Roman"/>
          <w:sz w:val="28"/>
          <w:szCs w:val="28"/>
        </w:rPr>
        <w:t>ей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D8F">
        <w:rPr>
          <w:rFonts w:ascii="Times New Roman" w:eastAsia="Calibri" w:hAnsi="Times New Roman" w:cs="Times New Roman"/>
          <w:sz w:val="28"/>
          <w:szCs w:val="28"/>
        </w:rPr>
        <w:t xml:space="preserve"> 46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Закона Воронежской области от 27 июня 2007 года № 87-ОЗ «Избирательный кодекс Воронежской области, </w:t>
      </w:r>
      <w:r w:rsidR="00FB0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Избирательная комиссия  </w:t>
      </w:r>
      <w:r w:rsidR="007A2C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Первомайского </w:t>
      </w:r>
      <w:r w:rsidR="00342D9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FB0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 </w:t>
      </w:r>
      <w:r w:rsidR="00CC461B" w:rsidRPr="00CC461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3066ED" w:rsidRPr="00FB44EE" w:rsidRDefault="003066ED" w:rsidP="00FB44E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EFA" w:rsidRDefault="00075EFA" w:rsidP="00E241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объединения</w:t>
      </w:r>
      <w:r w:rsidR="00083D8F" w:rsidRPr="00083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D8F">
        <w:rPr>
          <w:rFonts w:ascii="Times New Roman" w:eastAsia="Calibri" w:hAnsi="Times New Roman" w:cs="Times New Roman"/>
          <w:sz w:val="28"/>
          <w:szCs w:val="28"/>
        </w:rPr>
        <w:t xml:space="preserve">Подгоренское местное отделение </w:t>
      </w:r>
      <w:r w:rsidR="0014685B">
        <w:rPr>
          <w:rFonts w:ascii="Times New Roman" w:eastAsia="Calibri" w:hAnsi="Times New Roman" w:cs="Times New Roman"/>
          <w:sz w:val="28"/>
          <w:szCs w:val="28"/>
        </w:rPr>
        <w:t>ВРО ВПП</w:t>
      </w:r>
      <w:r w:rsidR="00083D8F">
        <w:rPr>
          <w:rFonts w:ascii="Times New Roman" w:eastAsia="Calibri" w:hAnsi="Times New Roman" w:cs="Times New Roman"/>
          <w:sz w:val="28"/>
          <w:szCs w:val="28"/>
        </w:rPr>
        <w:t xml:space="preserve"> «ЕДИНАЯ РОССИЯ», выдвинувшего 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в депутаты Совета народных д</w:t>
      </w:r>
      <w:r w:rsidR="007A2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  Первомайского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Подгоренского района Воронежской области </w:t>
      </w:r>
      <w:r w:rsidR="007A2C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Радченко Андрея Анатольевича.</w:t>
      </w:r>
    </w:p>
    <w:p w:rsidR="0041776E" w:rsidRPr="0041776E" w:rsidRDefault="0014635E" w:rsidP="00E241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776E"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окружную избирательную комиссию</w:t>
      </w:r>
      <w:r w:rsidR="003066ED" w:rsidRP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в Вестнике муниципальных правовых актов и официальном сайте в сети Интернет.</w:t>
      </w:r>
      <w:bookmarkStart w:id="0" w:name="_GoBack"/>
      <w:bookmarkEnd w:id="0"/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2C14" w:rsidRDefault="007A2C14" w:rsidP="00E241B7">
      <w:pPr>
        <w:tabs>
          <w:tab w:val="left" w:pos="200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14" w:rsidRDefault="007A2C14" w:rsidP="00E241B7">
      <w:pPr>
        <w:tabs>
          <w:tab w:val="left" w:pos="200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F9" w:rsidRPr="0041776E" w:rsidRDefault="003F76F9" w:rsidP="003F76F9">
      <w:pPr>
        <w:tabs>
          <w:tab w:val="left" w:pos="2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tbl>
      <w:tblPr>
        <w:tblW w:w="12411" w:type="dxa"/>
        <w:tblInd w:w="108" w:type="dxa"/>
        <w:tblLook w:val="04A0"/>
      </w:tblPr>
      <w:tblGrid>
        <w:gridCol w:w="3081"/>
        <w:gridCol w:w="6275"/>
        <w:gridCol w:w="3055"/>
      </w:tblGrid>
      <w:tr w:rsidR="00E241B7" w:rsidRPr="0041776E" w:rsidTr="00E241B7">
        <w:tc>
          <w:tcPr>
            <w:tcW w:w="3081" w:type="dxa"/>
            <w:hideMark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275" w:type="dxa"/>
            <w:hideMark/>
          </w:tcPr>
          <w:p w:rsidR="00B84B85" w:rsidRDefault="00E241B7" w:rsidP="00E241B7">
            <w:pPr>
              <w:tabs>
                <w:tab w:val="left" w:pos="2000"/>
                <w:tab w:val="left" w:pos="577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И.А. Больбух                                          </w:t>
            </w:r>
          </w:p>
          <w:p w:rsidR="003F76F9" w:rsidRPr="0041776E" w:rsidRDefault="003F76F9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hideMark/>
          </w:tcPr>
          <w:p w:rsidR="00B84B85" w:rsidRDefault="00B84B85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6F9" w:rsidRPr="0041776E" w:rsidRDefault="003F76F9" w:rsidP="00E241B7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1B7" w:rsidRPr="0041776E" w:rsidTr="00E241B7">
        <w:trPr>
          <w:trHeight w:val="222"/>
        </w:trPr>
        <w:tc>
          <w:tcPr>
            <w:tcW w:w="3081" w:type="dxa"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5" w:type="dxa"/>
            <w:hideMark/>
          </w:tcPr>
          <w:p w:rsidR="00E241B7" w:rsidRPr="00B84B85" w:rsidRDefault="00B84B85" w:rsidP="00E241B7">
            <w:pPr>
              <w:tabs>
                <w:tab w:val="center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3055" w:type="dxa"/>
            <w:hideMark/>
          </w:tcPr>
          <w:p w:rsidR="003F76F9" w:rsidRPr="00B84B85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41B7" w:rsidRPr="0041776E" w:rsidTr="00E241B7">
        <w:tc>
          <w:tcPr>
            <w:tcW w:w="3081" w:type="dxa"/>
            <w:hideMark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275" w:type="dxa"/>
            <w:hideMark/>
          </w:tcPr>
          <w:p w:rsidR="003F76F9" w:rsidRPr="0041776E" w:rsidRDefault="00E241B7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Л.П. Барабашова</w:t>
            </w:r>
          </w:p>
        </w:tc>
        <w:tc>
          <w:tcPr>
            <w:tcW w:w="3055" w:type="dxa"/>
            <w:hideMark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1B7" w:rsidRPr="0041776E" w:rsidTr="00E241B7">
        <w:tc>
          <w:tcPr>
            <w:tcW w:w="3081" w:type="dxa"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5" w:type="dxa"/>
            <w:hideMark/>
          </w:tcPr>
          <w:p w:rsidR="003F76F9" w:rsidRPr="00B84B85" w:rsidRDefault="00B84B85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</w:p>
        </w:tc>
        <w:tc>
          <w:tcPr>
            <w:tcW w:w="3055" w:type="dxa"/>
            <w:hideMark/>
          </w:tcPr>
          <w:p w:rsidR="00FB44EE" w:rsidRPr="00B84B85" w:rsidRDefault="00FB44EE" w:rsidP="00E241B7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41B7" w:rsidRPr="0041776E" w:rsidTr="00E241B7">
        <w:tc>
          <w:tcPr>
            <w:tcW w:w="3081" w:type="dxa"/>
          </w:tcPr>
          <w:p w:rsidR="00FB44EE" w:rsidRPr="0041776E" w:rsidRDefault="00FB44EE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5" w:type="dxa"/>
          </w:tcPr>
          <w:p w:rsidR="00FB44EE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5" w:type="dxa"/>
          </w:tcPr>
          <w:p w:rsidR="00FB44EE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43BB8" w:rsidRPr="0041776E" w:rsidRDefault="00743BB8">
      <w:pPr>
        <w:rPr>
          <w:sz w:val="28"/>
          <w:szCs w:val="28"/>
        </w:rPr>
      </w:pPr>
    </w:p>
    <w:sectPr w:rsidR="00743BB8" w:rsidRPr="0041776E" w:rsidSect="0064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56" w:rsidRDefault="00B32156" w:rsidP="00FB44EE">
      <w:pPr>
        <w:spacing w:after="0" w:line="240" w:lineRule="auto"/>
      </w:pPr>
      <w:r>
        <w:separator/>
      </w:r>
    </w:p>
  </w:endnote>
  <w:endnote w:type="continuationSeparator" w:id="0">
    <w:p w:rsidR="00B32156" w:rsidRDefault="00B32156" w:rsidP="00FB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56" w:rsidRDefault="00B32156" w:rsidP="00FB44EE">
      <w:pPr>
        <w:spacing w:after="0" w:line="240" w:lineRule="auto"/>
      </w:pPr>
      <w:r>
        <w:separator/>
      </w:r>
    </w:p>
  </w:footnote>
  <w:footnote w:type="continuationSeparator" w:id="0">
    <w:p w:rsidR="00B32156" w:rsidRDefault="00B32156" w:rsidP="00FB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2102"/>
    <w:multiLevelType w:val="hybridMultilevel"/>
    <w:tmpl w:val="E24C1F60"/>
    <w:lvl w:ilvl="0" w:tplc="B9627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6F9"/>
    <w:rsid w:val="000565E1"/>
    <w:rsid w:val="00075EFA"/>
    <w:rsid w:val="00083D8F"/>
    <w:rsid w:val="000A307C"/>
    <w:rsid w:val="0014635E"/>
    <w:rsid w:val="0014685B"/>
    <w:rsid w:val="001E662A"/>
    <w:rsid w:val="002A7817"/>
    <w:rsid w:val="003066ED"/>
    <w:rsid w:val="00342D91"/>
    <w:rsid w:val="003F76F9"/>
    <w:rsid w:val="0041776E"/>
    <w:rsid w:val="0046003E"/>
    <w:rsid w:val="004C590F"/>
    <w:rsid w:val="00646D4B"/>
    <w:rsid w:val="00702183"/>
    <w:rsid w:val="00743BB8"/>
    <w:rsid w:val="007A2C14"/>
    <w:rsid w:val="00834AAC"/>
    <w:rsid w:val="00844F42"/>
    <w:rsid w:val="00893A21"/>
    <w:rsid w:val="008A0270"/>
    <w:rsid w:val="00AE3F9B"/>
    <w:rsid w:val="00B32156"/>
    <w:rsid w:val="00B84B85"/>
    <w:rsid w:val="00C16759"/>
    <w:rsid w:val="00CC461B"/>
    <w:rsid w:val="00D032FB"/>
    <w:rsid w:val="00E241B7"/>
    <w:rsid w:val="00E44F23"/>
    <w:rsid w:val="00FB074E"/>
    <w:rsid w:val="00FB44EE"/>
    <w:rsid w:val="00FC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4EE"/>
  </w:style>
  <w:style w:type="paragraph" w:styleId="a8">
    <w:name w:val="footer"/>
    <w:basedOn w:val="a"/>
    <w:link w:val="a9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4EE"/>
  </w:style>
  <w:style w:type="paragraph" w:styleId="a8">
    <w:name w:val="footer"/>
    <w:basedOn w:val="a"/>
    <w:link w:val="a9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podgor.adm</dc:creator>
  <cp:lastModifiedBy>user</cp:lastModifiedBy>
  <cp:revision>5</cp:revision>
  <cp:lastPrinted>2020-07-19T13:18:00Z</cp:lastPrinted>
  <dcterms:created xsi:type="dcterms:W3CDTF">2005-03-07T22:59:00Z</dcterms:created>
  <dcterms:modified xsi:type="dcterms:W3CDTF">2020-07-19T13:18:00Z</dcterms:modified>
</cp:coreProperties>
</file>